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68" w:rsidRPr="000E0570" w:rsidRDefault="00DC2454" w:rsidP="00DC24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E0570" w:rsidRPr="000E0570">
        <w:rPr>
          <w:b/>
          <w:sz w:val="24"/>
          <w:szCs w:val="24"/>
        </w:rPr>
        <w:t>elký test z NSP2</w:t>
      </w:r>
      <w:r>
        <w:rPr>
          <w:b/>
          <w:sz w:val="24"/>
          <w:szCs w:val="24"/>
        </w:rPr>
        <w:t xml:space="preserve"> – vzorové zadání s řešením</w:t>
      </w:r>
    </w:p>
    <w:p w:rsidR="000E0570" w:rsidRDefault="000E0570" w:rsidP="00DC2454">
      <w:pPr>
        <w:jc w:val="both"/>
        <w:rPr>
          <w:sz w:val="24"/>
          <w:szCs w:val="24"/>
        </w:rPr>
      </w:pPr>
      <w:r w:rsidRPr="000E0570">
        <w:rPr>
          <w:sz w:val="24"/>
          <w:szCs w:val="24"/>
        </w:rPr>
        <w:t>Jméno a příjmení:</w:t>
      </w:r>
    </w:p>
    <w:p w:rsidR="009C2753" w:rsidRPr="000E0570" w:rsidRDefault="009C2753" w:rsidP="00DC2454">
      <w:pPr>
        <w:jc w:val="both"/>
        <w:rPr>
          <w:sz w:val="24"/>
          <w:szCs w:val="24"/>
        </w:rPr>
      </w:pPr>
      <w:r>
        <w:rPr>
          <w:sz w:val="24"/>
          <w:szCs w:val="24"/>
        </w:rPr>
        <w:t>Osobní číslo:</w:t>
      </w:r>
    </w:p>
    <w:p w:rsidR="000E0570" w:rsidRPr="000E0570" w:rsidRDefault="000E0570" w:rsidP="00DC2454">
      <w:pPr>
        <w:jc w:val="both"/>
        <w:rPr>
          <w:sz w:val="24"/>
          <w:szCs w:val="24"/>
        </w:rPr>
      </w:pPr>
      <w:r w:rsidRPr="000E0570">
        <w:rPr>
          <w:sz w:val="24"/>
          <w:szCs w:val="24"/>
        </w:rPr>
        <w:t>Datum:</w:t>
      </w:r>
    </w:p>
    <w:p w:rsidR="000E0570" w:rsidRPr="000E0570" w:rsidRDefault="000E0570" w:rsidP="00DC2454">
      <w:pPr>
        <w:jc w:val="both"/>
        <w:rPr>
          <w:sz w:val="24"/>
          <w:szCs w:val="24"/>
        </w:rPr>
      </w:pPr>
    </w:p>
    <w:p w:rsidR="000E0570" w:rsidRPr="000E0570" w:rsidRDefault="000E0570" w:rsidP="00DC2454">
      <w:pPr>
        <w:spacing w:line="360" w:lineRule="auto"/>
        <w:jc w:val="both"/>
        <w:rPr>
          <w:b/>
          <w:sz w:val="24"/>
          <w:szCs w:val="24"/>
        </w:rPr>
      </w:pPr>
      <w:r w:rsidRPr="000E0570">
        <w:rPr>
          <w:b/>
          <w:sz w:val="24"/>
          <w:szCs w:val="24"/>
        </w:rPr>
        <w:t>Zodpovězte:</w:t>
      </w:r>
    </w:p>
    <w:p w:rsidR="000E0570" w:rsidRPr="000E0570" w:rsidRDefault="000E0570" w:rsidP="00DC2454">
      <w:pPr>
        <w:spacing w:line="360" w:lineRule="auto"/>
        <w:jc w:val="both"/>
        <w:rPr>
          <w:b/>
          <w:sz w:val="24"/>
          <w:szCs w:val="24"/>
        </w:rPr>
      </w:pPr>
      <w:r w:rsidRPr="000E0570">
        <w:rPr>
          <w:b/>
          <w:sz w:val="24"/>
          <w:szCs w:val="24"/>
        </w:rPr>
        <w:t xml:space="preserve">1. Vyjmenujte orgány veřejné vysoké školy, včetně jejich rozlišení na samosprávné akademické </w:t>
      </w:r>
      <w:r w:rsidR="003C3606">
        <w:rPr>
          <w:b/>
          <w:sz w:val="24"/>
          <w:szCs w:val="24"/>
        </w:rPr>
        <w:t xml:space="preserve">orgány </w:t>
      </w:r>
      <w:r w:rsidRPr="000E0570">
        <w:rPr>
          <w:b/>
          <w:sz w:val="24"/>
          <w:szCs w:val="24"/>
        </w:rPr>
        <w:t>a tzv. další</w:t>
      </w:r>
      <w:r w:rsidR="003C3606">
        <w:rPr>
          <w:b/>
          <w:sz w:val="24"/>
          <w:szCs w:val="24"/>
        </w:rPr>
        <w:t xml:space="preserve"> orgány</w:t>
      </w:r>
      <w:r w:rsidRPr="000E0570">
        <w:rPr>
          <w:b/>
          <w:sz w:val="24"/>
          <w:szCs w:val="24"/>
        </w:rPr>
        <w:t>.</w:t>
      </w:r>
    </w:p>
    <w:p w:rsidR="000E0570" w:rsidRDefault="000E0570" w:rsidP="00DC2454">
      <w:pPr>
        <w:spacing w:line="360" w:lineRule="auto"/>
        <w:jc w:val="both"/>
        <w:rPr>
          <w:b/>
          <w:sz w:val="24"/>
          <w:szCs w:val="24"/>
        </w:rPr>
      </w:pPr>
      <w:r w:rsidRPr="000E0570">
        <w:rPr>
          <w:b/>
          <w:sz w:val="24"/>
          <w:szCs w:val="24"/>
        </w:rPr>
        <w:t xml:space="preserve">Odpověď: </w:t>
      </w:r>
    </w:p>
    <w:p w:rsidR="000E0570" w:rsidRPr="000E0570" w:rsidRDefault="000E0570" w:rsidP="00DC2454">
      <w:pPr>
        <w:spacing w:line="360" w:lineRule="auto"/>
        <w:jc w:val="both"/>
        <w:rPr>
          <w:sz w:val="24"/>
          <w:szCs w:val="24"/>
        </w:rPr>
      </w:pPr>
      <w:r w:rsidRPr="000E0570">
        <w:rPr>
          <w:sz w:val="24"/>
          <w:szCs w:val="24"/>
        </w:rPr>
        <w:t>Samosprávnými akademickými orgány veřejné vysoké školy jsou:</w:t>
      </w:r>
    </w:p>
    <w:p w:rsidR="000E0570" w:rsidRPr="000E0570" w:rsidRDefault="000E0570" w:rsidP="00DC245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0570">
        <w:rPr>
          <w:sz w:val="24"/>
          <w:szCs w:val="24"/>
        </w:rPr>
        <w:t>akademický senát,</w:t>
      </w:r>
    </w:p>
    <w:p w:rsidR="000E0570" w:rsidRPr="000E0570" w:rsidRDefault="000E0570" w:rsidP="00DC245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0570">
        <w:rPr>
          <w:sz w:val="24"/>
          <w:szCs w:val="24"/>
        </w:rPr>
        <w:t>rektor,</w:t>
      </w:r>
    </w:p>
    <w:p w:rsidR="000E0570" w:rsidRPr="000E0570" w:rsidRDefault="000E0570" w:rsidP="00DC245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0570">
        <w:rPr>
          <w:sz w:val="24"/>
          <w:szCs w:val="24"/>
        </w:rPr>
        <w:t>vědecká rada nebo umělecká rada nebo na neuniverzitní vysoké škole akademická rada,</w:t>
      </w:r>
    </w:p>
    <w:p w:rsidR="000E0570" w:rsidRPr="000E0570" w:rsidRDefault="000E0570" w:rsidP="00DC245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0570">
        <w:rPr>
          <w:sz w:val="24"/>
          <w:szCs w:val="24"/>
        </w:rPr>
        <w:t>rada pro vnitřní hodnocení, je-li zřízena,</w:t>
      </w:r>
    </w:p>
    <w:p w:rsidR="000E0570" w:rsidRPr="000E0570" w:rsidRDefault="000E0570" w:rsidP="00DC245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0570">
        <w:rPr>
          <w:sz w:val="24"/>
          <w:szCs w:val="24"/>
        </w:rPr>
        <w:t>disciplinární komise.</w:t>
      </w:r>
    </w:p>
    <w:p w:rsidR="000E0570" w:rsidRPr="000E0570" w:rsidRDefault="000E0570" w:rsidP="00DC2454">
      <w:pPr>
        <w:spacing w:line="360" w:lineRule="auto"/>
        <w:jc w:val="both"/>
        <w:rPr>
          <w:sz w:val="24"/>
          <w:szCs w:val="24"/>
        </w:rPr>
      </w:pPr>
      <w:r w:rsidRPr="000E0570">
        <w:rPr>
          <w:sz w:val="24"/>
          <w:szCs w:val="24"/>
        </w:rPr>
        <w:t xml:space="preserve"> Dalšími orgány veřejné vysoké školy jsou:</w:t>
      </w:r>
    </w:p>
    <w:p w:rsidR="000E0570" w:rsidRPr="000E0570" w:rsidRDefault="000E0570" w:rsidP="00DC245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0570">
        <w:rPr>
          <w:sz w:val="24"/>
          <w:szCs w:val="24"/>
        </w:rPr>
        <w:t>správní rada,</w:t>
      </w:r>
    </w:p>
    <w:p w:rsidR="000E0570" w:rsidRDefault="000E0570" w:rsidP="00DC2454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0570">
        <w:rPr>
          <w:sz w:val="24"/>
          <w:szCs w:val="24"/>
        </w:rPr>
        <w:t>kvestor.</w:t>
      </w:r>
    </w:p>
    <w:p w:rsidR="003C3606" w:rsidRDefault="003C3606" w:rsidP="00DC2454">
      <w:pPr>
        <w:spacing w:line="360" w:lineRule="auto"/>
        <w:ind w:left="60"/>
        <w:jc w:val="both"/>
        <w:rPr>
          <w:sz w:val="24"/>
          <w:szCs w:val="24"/>
        </w:rPr>
      </w:pPr>
    </w:p>
    <w:p w:rsidR="003C3606" w:rsidRPr="00E675A2" w:rsidRDefault="003C3606" w:rsidP="00DC2454">
      <w:pPr>
        <w:spacing w:line="360" w:lineRule="auto"/>
        <w:ind w:left="60"/>
        <w:jc w:val="both"/>
        <w:rPr>
          <w:b/>
          <w:sz w:val="24"/>
          <w:szCs w:val="24"/>
        </w:rPr>
      </w:pPr>
      <w:r w:rsidRPr="00E675A2">
        <w:rPr>
          <w:b/>
          <w:sz w:val="24"/>
          <w:szCs w:val="24"/>
        </w:rPr>
        <w:t xml:space="preserve">2. </w:t>
      </w:r>
      <w:r w:rsidR="00A22D26" w:rsidRPr="00E675A2">
        <w:rPr>
          <w:b/>
          <w:sz w:val="24"/>
          <w:szCs w:val="24"/>
        </w:rPr>
        <w:t>Charakterizujte pořádkový správní delikt.</w:t>
      </w:r>
    </w:p>
    <w:p w:rsidR="00A22D26" w:rsidRPr="00E675A2" w:rsidRDefault="00A22D26" w:rsidP="00DC2454">
      <w:pPr>
        <w:spacing w:line="360" w:lineRule="auto"/>
        <w:ind w:left="60"/>
        <w:jc w:val="both"/>
        <w:rPr>
          <w:b/>
          <w:sz w:val="24"/>
          <w:szCs w:val="24"/>
        </w:rPr>
      </w:pPr>
      <w:r w:rsidRPr="00E675A2">
        <w:rPr>
          <w:b/>
          <w:sz w:val="24"/>
          <w:szCs w:val="24"/>
        </w:rPr>
        <w:t>Odpověď:</w:t>
      </w:r>
    </w:p>
    <w:p w:rsidR="00A22D26" w:rsidRPr="00E675A2" w:rsidRDefault="00A22D26" w:rsidP="00DC245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E675A2">
        <w:rPr>
          <w:sz w:val="24"/>
          <w:szCs w:val="24"/>
        </w:rPr>
        <w:t>podstatou pořádkového deliktu je porušení určité procesní povinnosti, jejímž následkem je ztížení, maření, narušování určitého správního právem upraveného postupu</w:t>
      </w:r>
    </w:p>
    <w:p w:rsidR="00A22D26" w:rsidRPr="00E675A2" w:rsidRDefault="00DC2454" w:rsidP="00DC245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nebo</w:t>
      </w:r>
      <w:r w:rsidR="00A22D26" w:rsidRPr="00E675A2">
        <w:rPr>
          <w:sz w:val="24"/>
          <w:szCs w:val="24"/>
        </w:rPr>
        <w:t xml:space="preserve"> právnická osoba ne</w:t>
      </w:r>
      <w:r>
        <w:rPr>
          <w:sz w:val="24"/>
          <w:szCs w:val="24"/>
        </w:rPr>
        <w:t>plní svoji procesní povinnost (jednáním či svou nečinností),</w:t>
      </w:r>
      <w:r w:rsidR="00A22D26" w:rsidRPr="00E675A2">
        <w:rPr>
          <w:sz w:val="24"/>
          <w:szCs w:val="24"/>
        </w:rPr>
        <w:t xml:space="preserve"> správní orgán ji nutí uložením pořádkové sankce ke splnění, uplatnění sankce nemá ani tak funkci trestu, do popředí vystupuje především zajišťovací funkce </w:t>
      </w:r>
      <w:r w:rsidR="00A22D26" w:rsidRPr="00E675A2">
        <w:rPr>
          <w:sz w:val="24"/>
          <w:szCs w:val="24"/>
        </w:rPr>
        <w:lastRenderedPageBreak/>
        <w:t xml:space="preserve">– tj. zajištění řádného průběhu procesu (např. správního řízení), </w:t>
      </w:r>
      <w:r w:rsidR="00E675A2">
        <w:rPr>
          <w:sz w:val="24"/>
          <w:szCs w:val="24"/>
        </w:rPr>
        <w:t xml:space="preserve">či </w:t>
      </w:r>
      <w:r w:rsidR="00A22D26" w:rsidRPr="00E675A2">
        <w:rPr>
          <w:sz w:val="24"/>
          <w:szCs w:val="24"/>
        </w:rPr>
        <w:t>postupu (dozorového, kontrolního)</w:t>
      </w:r>
    </w:p>
    <w:p w:rsidR="00A22D26" w:rsidRPr="00E675A2" w:rsidRDefault="00E675A2" w:rsidP="00DC245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sankcí</w:t>
      </w:r>
      <w:r w:rsidR="00A22D26" w:rsidRPr="00E675A2">
        <w:rPr>
          <w:sz w:val="24"/>
          <w:szCs w:val="24"/>
        </w:rPr>
        <w:t xml:space="preserve"> je zpravidla pořádková pokuta, </w:t>
      </w:r>
      <w:r>
        <w:rPr>
          <w:sz w:val="24"/>
          <w:szCs w:val="24"/>
        </w:rPr>
        <w:t>ukládána</w:t>
      </w:r>
      <w:r w:rsidR="00A22D26" w:rsidRPr="00E675A2">
        <w:rPr>
          <w:sz w:val="24"/>
          <w:szCs w:val="24"/>
        </w:rPr>
        <w:t xml:space="preserve"> rozhodnutím ve správním řízení, příslušný</w:t>
      </w:r>
      <w:r w:rsidR="00DC2454">
        <w:rPr>
          <w:sz w:val="24"/>
          <w:szCs w:val="24"/>
        </w:rPr>
        <w:t xml:space="preserve"> je správní orgán, který vede</w:t>
      </w:r>
      <w:r w:rsidR="00A22D26" w:rsidRPr="00E675A2">
        <w:rPr>
          <w:sz w:val="24"/>
          <w:szCs w:val="24"/>
        </w:rPr>
        <w:t xml:space="preserve"> řízení, v němž došlo k porušení procesní povinnosti</w:t>
      </w:r>
    </w:p>
    <w:p w:rsidR="00A22D26" w:rsidRPr="00E675A2" w:rsidRDefault="00A22D26" w:rsidP="00DC245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E675A2">
        <w:rPr>
          <w:sz w:val="24"/>
          <w:szCs w:val="24"/>
        </w:rPr>
        <w:t xml:space="preserve">neplatí </w:t>
      </w:r>
      <w:r w:rsidR="00DC2454">
        <w:rPr>
          <w:sz w:val="24"/>
          <w:szCs w:val="24"/>
        </w:rPr>
        <w:t xml:space="preserve">zásada </w:t>
      </w:r>
      <w:r w:rsidRPr="00E675A2">
        <w:rPr>
          <w:sz w:val="24"/>
          <w:szCs w:val="24"/>
        </w:rPr>
        <w:t xml:space="preserve">ne bis in idem, jde o skutek </w:t>
      </w:r>
      <w:r w:rsidR="00E675A2">
        <w:rPr>
          <w:sz w:val="24"/>
          <w:szCs w:val="24"/>
        </w:rPr>
        <w:t xml:space="preserve">nový, byť obsahově totožný, </w:t>
      </w:r>
      <w:r w:rsidRPr="00E675A2">
        <w:rPr>
          <w:sz w:val="24"/>
          <w:szCs w:val="24"/>
        </w:rPr>
        <w:t xml:space="preserve">sankci </w:t>
      </w:r>
      <w:r w:rsidR="00E675A2">
        <w:rPr>
          <w:sz w:val="24"/>
          <w:szCs w:val="24"/>
        </w:rPr>
        <w:t xml:space="preserve">lze </w:t>
      </w:r>
      <w:r w:rsidRPr="00E675A2">
        <w:rPr>
          <w:sz w:val="24"/>
          <w:szCs w:val="24"/>
        </w:rPr>
        <w:t>uložit i opakovaně, zpravidla bývá zákonem stanovena max. hranice (pro jednotlivou pokutu, někdy i pro jejich úhrn)</w:t>
      </w:r>
    </w:p>
    <w:p w:rsidR="00A22D26" w:rsidRPr="00E675A2" w:rsidRDefault="00E675A2" w:rsidP="00DC245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princip oportunity -</w:t>
      </w:r>
      <w:r w:rsidR="00A22D26" w:rsidRPr="00E675A2">
        <w:rPr>
          <w:sz w:val="24"/>
          <w:szCs w:val="24"/>
        </w:rPr>
        <w:t xml:space="preserve"> uložení sankce je právem, ne povinností příslušného správního orgánu</w:t>
      </w:r>
    </w:p>
    <w:p w:rsidR="00A22D26" w:rsidRPr="00E675A2" w:rsidRDefault="00A22D26" w:rsidP="00DC245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E675A2">
        <w:rPr>
          <w:sz w:val="24"/>
          <w:szCs w:val="24"/>
        </w:rPr>
        <w:t>někdy v zákonech zakotveno oprávnění prominout uloženou sankci či ji snížit</w:t>
      </w:r>
    </w:p>
    <w:p w:rsidR="00E675A2" w:rsidRDefault="00E675A2" w:rsidP="00DC2454">
      <w:pPr>
        <w:spacing w:after="0" w:line="360" w:lineRule="auto"/>
        <w:ind w:left="360"/>
        <w:jc w:val="both"/>
        <w:rPr>
          <w:sz w:val="24"/>
          <w:szCs w:val="24"/>
        </w:rPr>
      </w:pPr>
    </w:p>
    <w:p w:rsidR="00E675A2" w:rsidRDefault="00E675A2" w:rsidP="00DC2454">
      <w:pPr>
        <w:spacing w:after="0" w:line="360" w:lineRule="auto"/>
        <w:jc w:val="both"/>
        <w:rPr>
          <w:b/>
          <w:sz w:val="24"/>
          <w:szCs w:val="24"/>
        </w:rPr>
      </w:pPr>
      <w:r w:rsidRPr="00E675A2">
        <w:rPr>
          <w:b/>
          <w:sz w:val="24"/>
          <w:szCs w:val="24"/>
        </w:rPr>
        <w:t>3. Jaké druhy živností rozlišujeme?</w:t>
      </w:r>
    </w:p>
    <w:p w:rsidR="00526085" w:rsidRPr="00E675A2" w:rsidRDefault="00526085" w:rsidP="00DC2454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Odpověď:</w:t>
      </w:r>
    </w:p>
    <w:p w:rsidR="00E675A2" w:rsidRPr="00E675A2" w:rsidRDefault="00DC2454" w:rsidP="00DC245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Živnosti rozlišujeme</w:t>
      </w:r>
      <w:r w:rsidR="00E675A2" w:rsidRPr="00E675A2">
        <w:rPr>
          <w:sz w:val="24"/>
          <w:szCs w:val="24"/>
        </w:rPr>
        <w:t>:</w:t>
      </w:r>
    </w:p>
    <w:p w:rsidR="00E675A2" w:rsidRDefault="00E675A2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E675A2">
        <w:rPr>
          <w:sz w:val="24"/>
          <w:szCs w:val="24"/>
        </w:rPr>
        <w:t xml:space="preserve">ohlašovací, </w:t>
      </w:r>
      <w:r>
        <w:rPr>
          <w:sz w:val="24"/>
          <w:szCs w:val="24"/>
        </w:rPr>
        <w:t>které dále členíme na řemeslné, vázané a volné,</w:t>
      </w:r>
    </w:p>
    <w:p w:rsidR="00E675A2" w:rsidRDefault="00E675A2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koncesované.</w:t>
      </w:r>
    </w:p>
    <w:p w:rsidR="00E675A2" w:rsidRDefault="00E675A2" w:rsidP="00DC2454">
      <w:pPr>
        <w:spacing w:after="0" w:line="360" w:lineRule="auto"/>
        <w:jc w:val="both"/>
        <w:rPr>
          <w:sz w:val="24"/>
          <w:szCs w:val="24"/>
        </w:rPr>
      </w:pPr>
    </w:p>
    <w:p w:rsidR="00E675A2" w:rsidRDefault="00E675A2" w:rsidP="00DC2454">
      <w:pPr>
        <w:spacing w:after="0" w:line="360" w:lineRule="auto"/>
        <w:jc w:val="both"/>
        <w:rPr>
          <w:b/>
          <w:sz w:val="24"/>
          <w:szCs w:val="24"/>
        </w:rPr>
      </w:pPr>
      <w:r w:rsidRPr="00526085">
        <w:rPr>
          <w:b/>
          <w:sz w:val="24"/>
          <w:szCs w:val="24"/>
        </w:rPr>
        <w:t xml:space="preserve">4. </w:t>
      </w:r>
      <w:r w:rsidR="00526085" w:rsidRPr="00526085">
        <w:rPr>
          <w:b/>
          <w:sz w:val="24"/>
          <w:szCs w:val="24"/>
        </w:rPr>
        <w:t>Charakterizujte institut tzv. dodatečného sdělení dle tiskového zákona.</w:t>
      </w:r>
    </w:p>
    <w:p w:rsidR="00526085" w:rsidRPr="00526085" w:rsidRDefault="00526085" w:rsidP="00DC2454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Odpověď:</w:t>
      </w:r>
    </w:p>
    <w:p w:rsidR="00526085" w:rsidRPr="00526085" w:rsidRDefault="00526085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526085">
        <w:rPr>
          <w:sz w:val="24"/>
          <w:szCs w:val="24"/>
        </w:rPr>
        <w:t>estliže bylo v periodickém tisku uveřejněno sdělení o trestním řízení nebo o řízení ve věcech přestupků, anebo o řízení ve věcech správních deliktů vedeném proti fyzické nebo právnické osobě, kterou lze podle tohoto sdělení ztotožnit, a toto řízení nebylo ukončeno pravomocným rozhodnutím, má tato osoba právo požadovat na vydavateli uveřejnění informace o konečném výsledku ř</w:t>
      </w:r>
      <w:r w:rsidR="006D0244">
        <w:rPr>
          <w:sz w:val="24"/>
          <w:szCs w:val="24"/>
        </w:rPr>
        <w:t>ízení jako tzv. dodatečné</w:t>
      </w:r>
      <w:r>
        <w:rPr>
          <w:sz w:val="24"/>
          <w:szCs w:val="24"/>
        </w:rPr>
        <w:t xml:space="preserve"> sdělení</w:t>
      </w:r>
    </w:p>
    <w:p w:rsidR="00526085" w:rsidRDefault="00526085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526085">
        <w:rPr>
          <w:sz w:val="24"/>
          <w:szCs w:val="24"/>
        </w:rPr>
        <w:t xml:space="preserve">vydavatel je povinen na žádost této osoby </w:t>
      </w:r>
      <w:r>
        <w:rPr>
          <w:sz w:val="24"/>
          <w:szCs w:val="24"/>
        </w:rPr>
        <w:t>dodatečné sdělení uveřejnit</w:t>
      </w:r>
    </w:p>
    <w:p w:rsidR="00526085" w:rsidRPr="006D0244" w:rsidRDefault="00526085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Pr="00526085">
        <w:rPr>
          <w:sz w:val="24"/>
          <w:szCs w:val="24"/>
        </w:rPr>
        <w:t xml:space="preserve">ádost </w:t>
      </w:r>
      <w:r>
        <w:rPr>
          <w:sz w:val="24"/>
          <w:szCs w:val="24"/>
        </w:rPr>
        <w:t>musí mít písemnou formu</w:t>
      </w:r>
      <w:r w:rsidR="006D0244">
        <w:rPr>
          <w:sz w:val="24"/>
          <w:szCs w:val="24"/>
        </w:rPr>
        <w:t xml:space="preserve"> a </w:t>
      </w:r>
      <w:r w:rsidRPr="006D0244">
        <w:rPr>
          <w:sz w:val="24"/>
          <w:szCs w:val="24"/>
        </w:rPr>
        <w:t>musí být vydavateli doručena nejpozději do 30 dnů od právní moci rozhodnutí, kterým bylo řízení pravomocně skončeno, jinak právo na uveřejnění zaniká</w:t>
      </w:r>
    </w:p>
    <w:p w:rsidR="00526085" w:rsidRPr="006D0244" w:rsidRDefault="00526085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526085">
        <w:rPr>
          <w:sz w:val="24"/>
          <w:szCs w:val="24"/>
        </w:rPr>
        <w:t>dodatečné sdělení je vydavatel povinen uveřejnit</w:t>
      </w:r>
      <w:r>
        <w:rPr>
          <w:sz w:val="24"/>
          <w:szCs w:val="24"/>
        </w:rPr>
        <w:t xml:space="preserve"> </w:t>
      </w:r>
      <w:r w:rsidR="006D0244">
        <w:rPr>
          <w:sz w:val="24"/>
          <w:szCs w:val="24"/>
        </w:rPr>
        <w:t>ve stejném periodickém tisku</w:t>
      </w:r>
      <w:r w:rsidRPr="00526085">
        <w:rPr>
          <w:sz w:val="24"/>
          <w:szCs w:val="24"/>
        </w:rPr>
        <w:t>, s výslovným označením "dodatečné sdělení",</w:t>
      </w:r>
      <w:r>
        <w:rPr>
          <w:sz w:val="24"/>
          <w:szCs w:val="24"/>
        </w:rPr>
        <w:t xml:space="preserve"> </w:t>
      </w:r>
      <w:r w:rsidRPr="00526085">
        <w:rPr>
          <w:sz w:val="24"/>
          <w:szCs w:val="24"/>
        </w:rPr>
        <w:t>na vlastní náklady,</w:t>
      </w:r>
      <w:r>
        <w:rPr>
          <w:sz w:val="24"/>
          <w:szCs w:val="24"/>
        </w:rPr>
        <w:t xml:space="preserve"> v témže jazyce a </w:t>
      </w:r>
      <w:r w:rsidRPr="00526085">
        <w:rPr>
          <w:sz w:val="24"/>
          <w:szCs w:val="24"/>
        </w:rPr>
        <w:t xml:space="preserve">s </w:t>
      </w:r>
      <w:r w:rsidRPr="00526085">
        <w:rPr>
          <w:sz w:val="24"/>
          <w:szCs w:val="24"/>
        </w:rPr>
        <w:lastRenderedPageBreak/>
        <w:t xml:space="preserve">uvedením jména a příjmení nebo názvu osoby, která o uveřejnění </w:t>
      </w:r>
      <w:r>
        <w:rPr>
          <w:sz w:val="24"/>
          <w:szCs w:val="24"/>
        </w:rPr>
        <w:t>žádá</w:t>
      </w:r>
      <w:r w:rsidR="006D0244">
        <w:rPr>
          <w:sz w:val="24"/>
          <w:szCs w:val="24"/>
        </w:rPr>
        <w:t xml:space="preserve">, a to </w:t>
      </w:r>
      <w:r w:rsidRPr="006D0244">
        <w:rPr>
          <w:sz w:val="24"/>
          <w:szCs w:val="24"/>
        </w:rPr>
        <w:t xml:space="preserve">do 8 dnů ode dne doručení žádosti </w:t>
      </w:r>
    </w:p>
    <w:p w:rsidR="00526085" w:rsidRDefault="00526085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26085">
        <w:rPr>
          <w:sz w:val="24"/>
          <w:szCs w:val="24"/>
        </w:rPr>
        <w:t>euveřejní-li vydavatel dodatečné sdělení anebo nedo</w:t>
      </w:r>
      <w:r>
        <w:rPr>
          <w:sz w:val="24"/>
          <w:szCs w:val="24"/>
        </w:rPr>
        <w:t xml:space="preserve">drží-li podmínky pro </w:t>
      </w:r>
      <w:r w:rsidR="006D0244">
        <w:rPr>
          <w:sz w:val="24"/>
          <w:szCs w:val="24"/>
        </w:rPr>
        <w:t xml:space="preserve">jeho </w:t>
      </w:r>
      <w:r>
        <w:rPr>
          <w:sz w:val="24"/>
          <w:szCs w:val="24"/>
        </w:rPr>
        <w:t xml:space="preserve">uveřejnění, </w:t>
      </w:r>
      <w:r w:rsidRPr="00526085">
        <w:rPr>
          <w:sz w:val="24"/>
          <w:szCs w:val="24"/>
        </w:rPr>
        <w:t xml:space="preserve">rozhodne o povinnosti uveřejnit dodatečné sdělení na návrh osoby, která o </w:t>
      </w:r>
      <w:r w:rsidR="006D0244">
        <w:rPr>
          <w:sz w:val="24"/>
          <w:szCs w:val="24"/>
        </w:rPr>
        <w:t>jeho</w:t>
      </w:r>
      <w:r>
        <w:rPr>
          <w:sz w:val="24"/>
          <w:szCs w:val="24"/>
        </w:rPr>
        <w:t xml:space="preserve"> uveřejnění žádala, soud; n</w:t>
      </w:r>
      <w:r w:rsidRPr="00526085">
        <w:rPr>
          <w:sz w:val="24"/>
          <w:szCs w:val="24"/>
        </w:rPr>
        <w:t xml:space="preserve">ávrh musí být podán soudu do 15 dnů po uplynutí lhůty stanovené pro uveřejnění dodatečného sdělení, jinak právo </w:t>
      </w:r>
      <w:r w:rsidR="006D0244">
        <w:rPr>
          <w:sz w:val="24"/>
          <w:szCs w:val="24"/>
        </w:rPr>
        <w:t>zaniká</w:t>
      </w:r>
    </w:p>
    <w:p w:rsidR="00DC2454" w:rsidRDefault="00DC2454" w:rsidP="00DC2454">
      <w:pPr>
        <w:pStyle w:val="Odstavecseseznamem"/>
        <w:spacing w:after="0" w:line="360" w:lineRule="auto"/>
        <w:jc w:val="both"/>
        <w:rPr>
          <w:sz w:val="24"/>
          <w:szCs w:val="24"/>
        </w:rPr>
      </w:pPr>
    </w:p>
    <w:p w:rsidR="006D0244" w:rsidRPr="00642CC7" w:rsidRDefault="006D0244" w:rsidP="00DC2454">
      <w:pPr>
        <w:spacing w:after="0" w:line="360" w:lineRule="auto"/>
        <w:jc w:val="both"/>
        <w:rPr>
          <w:b/>
          <w:sz w:val="24"/>
          <w:szCs w:val="24"/>
        </w:rPr>
      </w:pPr>
      <w:r w:rsidRPr="00642CC7">
        <w:rPr>
          <w:b/>
          <w:sz w:val="24"/>
          <w:szCs w:val="24"/>
        </w:rPr>
        <w:t xml:space="preserve">5. </w:t>
      </w:r>
      <w:r w:rsidR="00DC2454">
        <w:rPr>
          <w:b/>
          <w:sz w:val="24"/>
          <w:szCs w:val="24"/>
        </w:rPr>
        <w:t>Vyjmenujte (minimálně</w:t>
      </w:r>
      <w:r w:rsidR="00642CC7" w:rsidRPr="00642CC7">
        <w:rPr>
          <w:b/>
          <w:sz w:val="24"/>
          <w:szCs w:val="24"/>
        </w:rPr>
        <w:t xml:space="preserve"> 3) povinnosti účastníka shromáždění.</w:t>
      </w:r>
    </w:p>
    <w:p w:rsidR="00642CC7" w:rsidRPr="00642CC7" w:rsidRDefault="00642CC7" w:rsidP="00DC2454">
      <w:pPr>
        <w:spacing w:after="0" w:line="360" w:lineRule="auto"/>
        <w:jc w:val="both"/>
        <w:rPr>
          <w:b/>
          <w:sz w:val="24"/>
          <w:szCs w:val="24"/>
        </w:rPr>
      </w:pPr>
      <w:r w:rsidRPr="00642CC7">
        <w:rPr>
          <w:b/>
          <w:sz w:val="24"/>
          <w:szCs w:val="24"/>
        </w:rPr>
        <w:t>Odpověď:</w:t>
      </w:r>
    </w:p>
    <w:p w:rsidR="00642CC7" w:rsidRDefault="00642CC7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povinnost</w:t>
      </w:r>
      <w:r w:rsidRPr="00642CC7">
        <w:rPr>
          <w:sz w:val="24"/>
          <w:szCs w:val="24"/>
        </w:rPr>
        <w:t xml:space="preserve"> dbát </w:t>
      </w:r>
      <w:r>
        <w:rPr>
          <w:sz w:val="24"/>
          <w:szCs w:val="24"/>
        </w:rPr>
        <w:t>pokynů svolavatele a pořadatelů</w:t>
      </w:r>
    </w:p>
    <w:p w:rsidR="00642CC7" w:rsidRDefault="00642CC7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642CC7">
        <w:rPr>
          <w:sz w:val="24"/>
          <w:szCs w:val="24"/>
        </w:rPr>
        <w:t>zdržet se všeho, co by narušilo řád</w:t>
      </w:r>
      <w:r>
        <w:rPr>
          <w:sz w:val="24"/>
          <w:szCs w:val="24"/>
        </w:rPr>
        <w:t>ný a pokojný průběh shromáždění</w:t>
      </w:r>
    </w:p>
    <w:p w:rsidR="00642CC7" w:rsidRDefault="00642CC7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42CC7">
        <w:rPr>
          <w:sz w:val="24"/>
          <w:szCs w:val="24"/>
        </w:rPr>
        <w:t>o</w:t>
      </w:r>
      <w:r>
        <w:rPr>
          <w:sz w:val="24"/>
          <w:szCs w:val="24"/>
        </w:rPr>
        <w:t>kojně se rozejít po</w:t>
      </w:r>
      <w:r w:rsidRPr="00642CC7">
        <w:rPr>
          <w:sz w:val="24"/>
          <w:szCs w:val="24"/>
        </w:rPr>
        <w:t xml:space="preserve"> ukončení shromáždění </w:t>
      </w:r>
    </w:p>
    <w:p w:rsidR="00642CC7" w:rsidRDefault="00642CC7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nesmí</w:t>
      </w:r>
      <w:r w:rsidRPr="00642CC7">
        <w:rPr>
          <w:sz w:val="24"/>
          <w:szCs w:val="24"/>
        </w:rPr>
        <w:t xml:space="preserve"> mít u</w:t>
      </w:r>
      <w:r>
        <w:rPr>
          <w:sz w:val="24"/>
          <w:szCs w:val="24"/>
        </w:rPr>
        <w:t xml:space="preserve"> sebe střelné zbraně, výbušniny, pyrotechnické výrobky či </w:t>
      </w:r>
      <w:r w:rsidRPr="00642CC7">
        <w:rPr>
          <w:sz w:val="24"/>
          <w:szCs w:val="24"/>
        </w:rPr>
        <w:t>jiné předmě</w:t>
      </w:r>
      <w:r>
        <w:rPr>
          <w:sz w:val="24"/>
          <w:szCs w:val="24"/>
        </w:rPr>
        <w:t>ty, jimiž lze ublížit na zdraví</w:t>
      </w:r>
    </w:p>
    <w:p w:rsidR="00642CC7" w:rsidRDefault="00642CC7" w:rsidP="00DC24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nesmí</w:t>
      </w:r>
      <w:r w:rsidRPr="00642CC7">
        <w:rPr>
          <w:sz w:val="24"/>
          <w:szCs w:val="24"/>
        </w:rPr>
        <w:t xml:space="preserve"> mít obličej zakrytý způsobem ztěžujícím nebo zn</w:t>
      </w:r>
      <w:r>
        <w:rPr>
          <w:sz w:val="24"/>
          <w:szCs w:val="24"/>
        </w:rPr>
        <w:t>emožňujícím identifikaci</w:t>
      </w:r>
    </w:p>
    <w:p w:rsidR="005D35AF" w:rsidRDefault="005D35AF" w:rsidP="005D35AF">
      <w:pPr>
        <w:spacing w:after="0" w:line="360" w:lineRule="auto"/>
        <w:jc w:val="both"/>
        <w:rPr>
          <w:sz w:val="24"/>
          <w:szCs w:val="24"/>
        </w:rPr>
      </w:pPr>
    </w:p>
    <w:p w:rsidR="005D35AF" w:rsidRDefault="005D35AF" w:rsidP="005D35AF">
      <w:pPr>
        <w:spacing w:after="0" w:line="360" w:lineRule="auto"/>
        <w:jc w:val="both"/>
        <w:rPr>
          <w:sz w:val="24"/>
          <w:szCs w:val="24"/>
        </w:rPr>
      </w:pPr>
    </w:p>
    <w:p w:rsidR="005D35AF" w:rsidRDefault="005D35AF" w:rsidP="005D35A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Celkem je </w:t>
      </w:r>
      <w:r w:rsidRPr="00A364F8">
        <w:rPr>
          <w:b/>
          <w:sz w:val="24"/>
          <w:szCs w:val="24"/>
        </w:rPr>
        <w:t>možno dosáhnout 15 bodů, minimum pro úspěšné napsání písemky je 10 bodů.</w:t>
      </w:r>
    </w:p>
    <w:p w:rsidR="005D35AF" w:rsidRPr="00A364F8" w:rsidRDefault="005D35AF" w:rsidP="005D35A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Časový limit: 60 minut.</w:t>
      </w:r>
    </w:p>
    <w:p w:rsidR="005D35AF" w:rsidRPr="005D35AF" w:rsidRDefault="005D35AF" w:rsidP="005D35AF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5D35AF" w:rsidRPr="005D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001F"/>
    <w:multiLevelType w:val="hybridMultilevel"/>
    <w:tmpl w:val="992CAEAE"/>
    <w:lvl w:ilvl="0" w:tplc="CD5E4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7707B5"/>
    <w:multiLevelType w:val="hybridMultilevel"/>
    <w:tmpl w:val="1542D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C03"/>
    <w:multiLevelType w:val="hybridMultilevel"/>
    <w:tmpl w:val="8E12BEA6"/>
    <w:lvl w:ilvl="0" w:tplc="700C0D1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24B342F"/>
    <w:multiLevelType w:val="hybridMultilevel"/>
    <w:tmpl w:val="8D903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66580"/>
    <w:multiLevelType w:val="hybridMultilevel"/>
    <w:tmpl w:val="473E6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C"/>
    <w:rsid w:val="000E0570"/>
    <w:rsid w:val="003C3606"/>
    <w:rsid w:val="0048503C"/>
    <w:rsid w:val="004E7668"/>
    <w:rsid w:val="00526085"/>
    <w:rsid w:val="005D35AF"/>
    <w:rsid w:val="00642CC7"/>
    <w:rsid w:val="006D0244"/>
    <w:rsid w:val="009C2753"/>
    <w:rsid w:val="00A22D26"/>
    <w:rsid w:val="00DC2454"/>
    <w:rsid w:val="00E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5D75E-1523-41A5-8585-13C89D04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8</cp:revision>
  <dcterms:created xsi:type="dcterms:W3CDTF">2016-09-30T06:48:00Z</dcterms:created>
  <dcterms:modified xsi:type="dcterms:W3CDTF">2016-12-12T08:13:00Z</dcterms:modified>
</cp:coreProperties>
</file>